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/>
        <w:drawing>
          <wp:inline distB="0" distT="0" distL="0" distR="0">
            <wp:extent cx="6013450" cy="539750"/>
            <wp:effectExtent b="0" l="0" r="0" t="0"/>
            <wp:docPr descr="Website-header.JPG" id="11" name="image1.jpg"/>
            <a:graphic>
              <a:graphicData uri="http://schemas.openxmlformats.org/drawingml/2006/picture">
                <pic:pic>
                  <pic:nvPicPr>
                    <pic:cNvPr descr="Website-header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3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right="-23" w:firstLine="0"/>
        <w:rPr>
          <w:rFonts w:ascii="Calibri" w:cs="Calibri" w:eastAsia="Calibri" w:hAnsi="Calibri"/>
          <w:b w:val="1"/>
          <w:color w:val="0070c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9"/>
        <w:gridCol w:w="4774"/>
        <w:tblGridChange w:id="0">
          <w:tblGrid>
            <w:gridCol w:w="4849"/>
            <w:gridCol w:w="47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Version Number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Approved 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18/09/23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by the Trustee Board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Next Review</w:t>
            </w:r>
          </w:p>
        </w:tc>
        <w:tc>
          <w:tcPr/>
          <w:p w:rsidR="00000000" w:rsidDel="00000000" w:rsidP="00000000" w:rsidRDefault="00000000" w:rsidRPr="00000000" w14:paraId="0000000A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August 2026</w:t>
            </w:r>
          </w:p>
        </w:tc>
      </w:tr>
    </w:tbl>
    <w:p w:rsidR="00000000" w:rsidDel="00000000" w:rsidP="00000000" w:rsidRDefault="00000000" w:rsidRPr="00000000" w14:paraId="0000000B">
      <w:pPr>
        <w:ind w:left="720" w:right="-23" w:firstLine="0"/>
        <w:rPr>
          <w:rFonts w:ascii="Calibri" w:cs="Calibri" w:eastAsia="Calibri" w:hAnsi="Calibri"/>
          <w:b w:val="1"/>
          <w:color w:val="0070c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right="-23" w:firstLine="0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vertAlign w:val="baseline"/>
          <w:rtl w:val="0"/>
        </w:rPr>
        <w:t xml:space="preserve">Vetting Policy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(POR Chapter 2.6)  This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is a district function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right="-23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 is the policy of The Scout Association to check all adult volunteers to ensure that:</w:t>
      </w:r>
    </w:p>
    <w:p w:rsidR="00000000" w:rsidDel="00000000" w:rsidP="00000000" w:rsidRDefault="00000000" w:rsidRPr="00000000" w14:paraId="0000000F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only adults appropriate for a role are permitted to undertake responsibilities in the Scouts.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that regular reviews are undertaken of adult volunteers to ensure their continued suitability.</w:t>
      </w:r>
    </w:p>
    <w:p w:rsidR="00000000" w:rsidDel="00000000" w:rsidP="00000000" w:rsidRDefault="00000000" w:rsidRPr="00000000" w14:paraId="00000013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Accordingly, The Scout Association is committed to:</w:t>
      </w:r>
    </w:p>
    <w:p w:rsidR="00000000" w:rsidDel="00000000" w:rsidP="00000000" w:rsidRDefault="00000000" w:rsidRPr="00000000" w14:paraId="00000015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following a defined process for appointing adult volunteers that establishes the applicant’s suitability taking into account the fundamentals of the Scouts, the Safeguarding Policy, Youth Member Anti-Bullying Policy, Safety Policy and the Equal Opportunities Policy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refusing offers from applicants that are found to be unsuitable.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putting in place robust vetting arrangements and ensuring that these arrangements are made clear to applicants and to the public </w:t>
      </w:r>
    </w:p>
    <w:p w:rsidR="00000000" w:rsidDel="00000000" w:rsidP="00000000" w:rsidRDefault="00000000" w:rsidRPr="00000000" w14:paraId="0000001B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taking into account relevant information from The Scout Association’s records, police forces, relevant statutory authorities, personal references and other credible sources.</w:t>
      </w:r>
    </w:p>
    <w:p w:rsidR="00000000" w:rsidDel="00000000" w:rsidP="00000000" w:rsidRDefault="00000000" w:rsidRPr="00000000" w14:paraId="0000001D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part of the vetting arrangements, The Scout Association will undertake a personal enquiry which involves a check made against records at UK Headquarters for all adult volunteers and, for certain roles, a criminal record (DBS) check. </w:t>
      </w:r>
    </w:p>
    <w:p w:rsidR="00000000" w:rsidDel="00000000" w:rsidP="00000000" w:rsidRDefault="00000000" w:rsidRPr="00000000" w14:paraId="0000001F">
      <w:pPr>
        <w:shd w:fill="ffffff" w:val="clear"/>
        <w:ind w:left="720" w:firstLine="0"/>
        <w:rPr>
          <w:rFonts w:ascii="Nunito Sans" w:cs="Nunito Sans" w:eastAsia="Nunito Sans" w:hAnsi="Nuni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Personal enquiry</w:t>
      </w:r>
    </w:p>
    <w:p w:rsidR="00000000" w:rsidDel="00000000" w:rsidP="00000000" w:rsidRDefault="00000000" w:rsidRPr="00000000" w14:paraId="00000021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Vetting checks for people aged 18 or over where they will be involved with regulated activity or are trustees. For these people, a satisfactory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criminal records check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must be held at all times, and 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confidential enquiry check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required on starting each new role. </w:t>
      </w:r>
    </w:p>
    <w:p w:rsidR="00000000" w:rsidDel="00000000" w:rsidP="00000000" w:rsidRDefault="00000000" w:rsidRPr="00000000" w14:paraId="00000022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further information, speak to the Group Scout Leader or Chair of the Trustee Board.</w:t>
      </w:r>
    </w:p>
    <w:p w:rsidR="00000000" w:rsidDel="00000000" w:rsidP="00000000" w:rsidRDefault="00000000" w:rsidRPr="00000000" w14:paraId="00000024">
      <w:pPr>
        <w:shd w:fill="ffffff" w:val="clear"/>
        <w:ind w:left="720" w:firstLine="0"/>
        <w:rPr>
          <w:rFonts w:ascii="Nunito Sans" w:cs="Nunito Sans" w:eastAsia="Nunito Sans" w:hAnsi="Nuni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left="720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10" w:orient="portrait"/>
      <w:pgMar w:bottom="460" w:top="480" w:left="420" w:right="1137" w:header="298" w:footer="2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uni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312738</wp:posOffset>
              </wp:positionH>
              <wp:positionV relativeFrom="page">
                <wp:posOffset>197168</wp:posOffset>
              </wp:positionV>
              <wp:extent cx="497840" cy="13652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01843" y="3716500"/>
                        <a:ext cx="488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312738</wp:posOffset>
              </wp:positionH>
              <wp:positionV relativeFrom="page">
                <wp:posOffset>197168</wp:posOffset>
              </wp:positionV>
              <wp:extent cx="497840" cy="136525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7840" cy="136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78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A25AA"/>
    <w:pPr>
      <w:widowControl w:val="0"/>
      <w:autoSpaceDE w:val="0"/>
      <w:autoSpaceDN w:val="0"/>
      <w:spacing w:after="0" w:line="240" w:lineRule="auto"/>
    </w:pPr>
    <w:rPr>
      <w:rFonts w:ascii="Georgia" w:cs="Georgia" w:eastAsia="Georgia" w:hAnsi="Georgia"/>
    </w:rPr>
  </w:style>
  <w:style w:type="paragraph" w:styleId="Heading1">
    <w:name w:val="heading 1"/>
    <w:basedOn w:val="Normal"/>
    <w:link w:val="Heading1Char"/>
    <w:uiPriority w:val="1"/>
    <w:qFormat w:val="1"/>
    <w:rsid w:val="007A25AA"/>
    <w:pPr>
      <w:ind w:left="678"/>
      <w:outlineLvl w:val="0"/>
    </w:pPr>
    <w:rPr>
      <w:b w:val="1"/>
      <w:bCs w:val="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C21B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7A25AA"/>
    <w:rPr>
      <w:rFonts w:ascii="Georgia" w:cs="Georgia" w:eastAsia="Georgia" w:hAnsi="Georgia"/>
      <w:b w:val="1"/>
      <w:bCs w:val="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 w:val="1"/>
    <w:rsid w:val="007A25AA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7A25AA"/>
    <w:rPr>
      <w:rFonts w:ascii="Georgia" w:cs="Georgia" w:eastAsia="Georgia" w:hAnsi="Georg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 w:val="1"/>
    <w:rsid w:val="007A25AA"/>
    <w:pPr>
      <w:ind w:left="678"/>
    </w:pPr>
  </w:style>
  <w:style w:type="paragraph" w:styleId="TableParagraph" w:customStyle="1">
    <w:name w:val="Table Paragraph"/>
    <w:basedOn w:val="Normal"/>
    <w:uiPriority w:val="1"/>
    <w:qFormat w:val="1"/>
    <w:rsid w:val="007A25AA"/>
  </w:style>
  <w:style w:type="paragraph" w:styleId="Header">
    <w:name w:val="header"/>
    <w:basedOn w:val="Normal"/>
    <w:link w:val="HeaderChar"/>
    <w:uiPriority w:val="99"/>
    <w:unhideWhenUsed w:val="1"/>
    <w:rsid w:val="007A25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25AA"/>
    <w:rPr>
      <w:rFonts w:ascii="Georgia" w:cs="Georgia" w:eastAsia="Georgia" w:hAnsi="Georgia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7A25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25AA"/>
    <w:rPr>
      <w:rFonts w:ascii="Georgia" w:cs="Georgia" w:eastAsia="Georgia" w:hAnsi="Georgia"/>
      <w:lang w:val="en-US"/>
    </w:rPr>
  </w:style>
  <w:style w:type="character" w:styleId="Hyperlink">
    <w:name w:val="Hyperlink"/>
    <w:basedOn w:val="DefaultParagraphFont"/>
    <w:uiPriority w:val="99"/>
    <w:unhideWhenUsed w:val="1"/>
    <w:rsid w:val="007C21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C21BA"/>
    <w:rPr>
      <w:color w:val="808080"/>
      <w:shd w:color="auto" w:fill="e6e6e6" w:val="clear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C21B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330240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010EF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90579D"/>
    <w:pPr>
      <w:spacing w:after="0" w:line="240" w:lineRule="auto"/>
    </w:pPr>
    <w:rPr>
      <w:rFonts w:ascii="Georgia" w:cs="Georgia" w:eastAsia="Georgia" w:hAnsi="Georgia"/>
    </w:rPr>
  </w:style>
  <w:style w:type="table" w:styleId="TableGrid">
    <w:name w:val="Table Grid"/>
    <w:basedOn w:val="TableNormal"/>
    <w:uiPriority w:val="39"/>
    <w:rsid w:val="009057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ans-regular.ttf"/><Relationship Id="rId2" Type="http://schemas.openxmlformats.org/officeDocument/2006/relationships/font" Target="fonts/NunitoSans-bold.ttf"/><Relationship Id="rId3" Type="http://schemas.openxmlformats.org/officeDocument/2006/relationships/font" Target="fonts/NunitoSans-italic.ttf"/><Relationship Id="rId4" Type="http://schemas.openxmlformats.org/officeDocument/2006/relationships/font" Target="fonts/Nuni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5te5a/gayCXFreNMi1xB6eRr0Q==">CgMxLjA4AHIhMUxIemZPUTBjX01zQkUwWkhlRUZqUjhmOVV3a0Y3Sjd1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2017-11-28T08:20:00Z</dcterms:created>
  <dc:creator>chris ward</dc:creator>
</cp:coreProperties>
</file>